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47" w:rsidRDefault="006C1C47" w:rsidP="006C1C47">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6C1C47" w:rsidRDefault="006C1C47" w:rsidP="006C1C47">
      <w:pPr>
        <w:jc w:val="center"/>
        <w:rPr>
          <w:rFonts w:cs="Traditional Arabic"/>
          <w:b/>
          <w:bCs/>
          <w:sz w:val="30"/>
          <w:szCs w:val="30"/>
        </w:rPr>
      </w:pPr>
      <w:r>
        <w:rPr>
          <w:rFonts w:cs="Traditional Arabic"/>
          <w:b/>
          <w:bCs/>
          <w:sz w:val="30"/>
          <w:szCs w:val="30"/>
          <w:rtl/>
        </w:rPr>
        <w:t>للدراسات الحضارية والاستراتيجية</w:t>
      </w:r>
    </w:p>
    <w:p w:rsidR="006C1C47" w:rsidRDefault="006C1C47" w:rsidP="006C1C47">
      <w:pPr>
        <w:jc w:val="center"/>
        <w:rPr>
          <w:rFonts w:cs="Traditional Arabic"/>
          <w:b/>
          <w:bCs/>
          <w:sz w:val="38"/>
          <w:szCs w:val="40"/>
        </w:rPr>
      </w:pPr>
      <w:r>
        <w:rPr>
          <w:rFonts w:cs="Traditional Arabic"/>
          <w:b/>
          <w:bCs/>
          <w:szCs w:val="40"/>
        </w:rPr>
        <w:t>The Arab Orient Center - for Strategic and Civilization Studies</w:t>
      </w:r>
    </w:p>
    <w:p w:rsidR="006C1C47" w:rsidRDefault="006C1C47" w:rsidP="006C1C47">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6C1C47" w:rsidRDefault="006C1C47" w:rsidP="006C1C47">
      <w:pPr>
        <w:jc w:val="center"/>
        <w:rPr>
          <w:rFonts w:cs="Traditional Arabic"/>
          <w:sz w:val="22"/>
          <w:szCs w:val="22"/>
          <w:rtl/>
        </w:rPr>
      </w:pPr>
      <w:hyperlink r:id="rId5" w:history="1">
        <w:r>
          <w:rPr>
            <w:rStyle w:val="Hyperlink"/>
            <w:rFonts w:cs="Traditional Arabic"/>
            <w:sz w:val="22"/>
            <w:szCs w:val="22"/>
          </w:rPr>
          <w:t>https://www.asharqalarabi.org.uk</w:t>
        </w:r>
      </w:hyperlink>
    </w:p>
    <w:p w:rsidR="006C1C47" w:rsidRDefault="006C1C47" w:rsidP="006C1C47">
      <w:pPr>
        <w:jc w:val="center"/>
        <w:rPr>
          <w:rFonts w:cs="Traditional Arabic"/>
          <w:sz w:val="22"/>
          <w:szCs w:val="22"/>
          <w:rtl/>
        </w:rPr>
      </w:pPr>
      <w:hyperlink r:id="rId6" w:history="1">
        <w:r>
          <w:rPr>
            <w:rStyle w:val="Hyperlink"/>
            <w:rFonts w:cs="Traditional Arabic"/>
            <w:sz w:val="22"/>
            <w:szCs w:val="22"/>
          </w:rPr>
          <w:t>info@asharqalarabi.org.uk</w:t>
        </w:r>
      </w:hyperlink>
    </w:p>
    <w:p w:rsidR="006C1C47" w:rsidRPr="00E71D0A" w:rsidRDefault="006C1C47" w:rsidP="006C1C47">
      <w:pPr>
        <w:jc w:val="center"/>
        <w:rPr>
          <w:rFonts w:cs="Traditional Arabic"/>
          <w:sz w:val="30"/>
          <w:rtl/>
          <w:lang w:bidi="ar-JO"/>
        </w:rPr>
      </w:pPr>
      <w:r>
        <w:rPr>
          <w:rFonts w:cs="Traditional Arabic"/>
          <w:sz w:val="30"/>
          <w:rtl/>
        </w:rPr>
        <w:t>___________________</w:t>
      </w:r>
      <w:r>
        <w:rPr>
          <w:rFonts w:cs="Traditional Arabic"/>
          <w:sz w:val="30"/>
          <w:rtl/>
          <w:lang w:bidi="ar-JO"/>
        </w:rPr>
        <w:t xml:space="preserve"> </w:t>
      </w:r>
    </w:p>
    <w:p w:rsidR="006C1C47" w:rsidRPr="00D136D6" w:rsidRDefault="006C1C47" w:rsidP="006C1C47">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6C1C47" w:rsidRPr="007634B4" w:rsidRDefault="006C1C47" w:rsidP="006C1C47">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6C1C47" w:rsidRDefault="006C1C47" w:rsidP="006C1C47">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08</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03</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6C1C47" w:rsidRPr="006C1C47" w:rsidRDefault="006C1C47" w:rsidP="00DA283D">
      <w:pPr>
        <w:jc w:val="both"/>
        <w:rPr>
          <w:rFonts w:hint="cs"/>
          <w:b/>
          <w:bCs/>
          <w:color w:val="FF0000"/>
          <w:sz w:val="14"/>
          <w:szCs w:val="14"/>
          <w:rtl/>
        </w:rPr>
      </w:pPr>
      <w:r w:rsidRPr="006C1C47">
        <w:rPr>
          <w:rFonts w:hint="cs"/>
          <w:b/>
          <w:bCs/>
          <w:color w:val="FF0000"/>
          <w:sz w:val="14"/>
          <w:szCs w:val="14"/>
          <w:rtl/>
        </w:rPr>
        <w:t xml:space="preserve">  </w:t>
      </w:r>
    </w:p>
    <w:p w:rsidR="00DA283D" w:rsidRPr="00DA283D" w:rsidRDefault="00DA283D" w:rsidP="00DA283D">
      <w:pPr>
        <w:jc w:val="both"/>
        <w:rPr>
          <w:b/>
          <w:bCs/>
          <w:color w:val="FF0000"/>
          <w:sz w:val="32"/>
          <w:szCs w:val="32"/>
          <w:rtl/>
        </w:rPr>
      </w:pPr>
      <w:r w:rsidRPr="00DA283D">
        <w:rPr>
          <w:b/>
          <w:bCs/>
          <w:color w:val="FF0000"/>
          <w:sz w:val="32"/>
          <w:szCs w:val="32"/>
          <w:rtl/>
        </w:rPr>
        <w:t>قسد تحول شهر رمضان إلى شهر اعتقالات ومداهمات</w:t>
      </w:r>
    </w:p>
    <w:p w:rsidR="00DA283D" w:rsidRPr="00DA283D" w:rsidRDefault="00DA283D" w:rsidP="00DA283D">
      <w:pPr>
        <w:jc w:val="both"/>
        <w:rPr>
          <w:b/>
          <w:bCs/>
          <w:color w:val="FF0000"/>
          <w:sz w:val="32"/>
          <w:szCs w:val="32"/>
          <w:rtl/>
        </w:rPr>
      </w:pPr>
      <w:r w:rsidRPr="00DA283D">
        <w:rPr>
          <w:b/>
          <w:bCs/>
          <w:color w:val="FF0000"/>
          <w:sz w:val="32"/>
          <w:szCs w:val="32"/>
          <w:rtl/>
        </w:rPr>
        <w:t>اللجنة السورية لحقوق الإنسان</w:t>
      </w:r>
      <w:r w:rsidRPr="00DA283D">
        <w:rPr>
          <w:rFonts w:hint="cs"/>
          <w:b/>
          <w:bCs/>
          <w:color w:val="FF0000"/>
          <w:sz w:val="32"/>
          <w:szCs w:val="32"/>
          <w:rtl/>
        </w:rPr>
        <w:t xml:space="preserve"> </w:t>
      </w:r>
      <w:r w:rsidRPr="00DA283D">
        <w:rPr>
          <w:b/>
          <w:bCs/>
          <w:color w:val="FF0000"/>
          <w:sz w:val="32"/>
          <w:szCs w:val="32"/>
          <w:rtl/>
        </w:rPr>
        <w:t>4-آذار-2025</w:t>
      </w:r>
    </w:p>
    <w:p w:rsidR="00DA283D" w:rsidRPr="00DA283D" w:rsidRDefault="00DA283D" w:rsidP="00DA283D">
      <w:pPr>
        <w:jc w:val="both"/>
        <w:rPr>
          <w:b/>
          <w:bCs/>
          <w:sz w:val="32"/>
          <w:szCs w:val="32"/>
          <w:rtl/>
        </w:rPr>
      </w:pPr>
      <w:r w:rsidRPr="00DA283D">
        <w:rPr>
          <w:b/>
          <w:bCs/>
          <w:sz w:val="32"/>
          <w:szCs w:val="32"/>
          <w:rtl/>
        </w:rPr>
        <w:t>أفاد موقع “مراسل الشرقية” بأن ميليشيات “قسد” حولت شهر رمضان إلى شهر اعتقالات ومداهمات، فقد اعتقلت 6 أشخاص مدنيين من بلدة حطلة وهم أحمد جمال السيد عايد، رائد جمال السيد، محمد حمد الصالح الخلف، بشار ناجي العباس، علاء حسن عبد الله الحمادي، رضا حسين عبد الله الحمادي</w:t>
      </w:r>
    </w:p>
    <w:p w:rsidR="00DA283D" w:rsidRPr="00DA283D" w:rsidRDefault="00DA283D" w:rsidP="00DA283D">
      <w:pPr>
        <w:jc w:val="both"/>
        <w:rPr>
          <w:b/>
          <w:bCs/>
          <w:sz w:val="32"/>
          <w:szCs w:val="32"/>
          <w:rtl/>
        </w:rPr>
      </w:pPr>
      <w:r w:rsidRPr="00DA283D">
        <w:rPr>
          <w:b/>
          <w:bCs/>
          <w:sz w:val="32"/>
          <w:szCs w:val="32"/>
          <w:rtl/>
        </w:rPr>
        <w:t xml:space="preserve">وكانت قسد بدأت حملة الاعتقالات في بلدة السبع شمال غرب دير الزور، واعتقلت عشرة أشخاص مدنيين من بلدة الحسينية، وستة أشخاص من بلدة الصالحية، وأربعة أشخاص من طابية جزيرة، كما قامت باعتقال المحامي فؤاد عبد الرحمن من بلدة الصالحية وسرقت أموال من منزله.  </w:t>
      </w:r>
    </w:p>
    <w:p w:rsidR="00DA283D" w:rsidRPr="00DA283D" w:rsidRDefault="00DA283D" w:rsidP="00DA283D">
      <w:pPr>
        <w:jc w:val="both"/>
        <w:rPr>
          <w:b/>
          <w:bCs/>
          <w:sz w:val="32"/>
          <w:szCs w:val="32"/>
          <w:rtl/>
        </w:rPr>
      </w:pPr>
      <w:r w:rsidRPr="00DA283D">
        <w:rPr>
          <w:b/>
          <w:bCs/>
          <w:sz w:val="32"/>
          <w:szCs w:val="32"/>
          <w:rtl/>
        </w:rPr>
        <w:t xml:space="preserve">واللجنة السورية لحقوق الإنسان تتابع ملفات انتهاكات قسد لحقوق المواطنين السوريين واعتقالهم وإخفائهم قسرياً وقتلهم، والتعدي على ممتلكاتهم وفرض الإتاوات عليهم، واختطاف </w:t>
      </w:r>
      <w:r w:rsidRPr="00DA283D">
        <w:rPr>
          <w:b/>
          <w:bCs/>
          <w:sz w:val="32"/>
          <w:szCs w:val="32"/>
          <w:rtl/>
        </w:rPr>
        <w:lastRenderedPageBreak/>
        <w:t>الأطفال وتجنيدهم بغير إرادة ذويهم في المنظمات المسلحة التابعة لها كالشبية الثورية، وتهجير السكان ومحاولة تغيير ثقافة المنطقة العربية وهويتها، إضافة إلى سرقة موارد البلاد المعدنية والزراعية والمائية، مما يعد ذلك من أخطر الانتهاكات التي تحرمها المواثيق الدولية وتعتبرها جرائم خطيرة.</w:t>
      </w:r>
    </w:p>
    <w:p w:rsidR="00DA283D" w:rsidRPr="00DA283D" w:rsidRDefault="00DA283D" w:rsidP="00DA283D">
      <w:pPr>
        <w:jc w:val="both"/>
        <w:rPr>
          <w:b/>
          <w:bCs/>
          <w:sz w:val="32"/>
          <w:szCs w:val="32"/>
          <w:rtl/>
        </w:rPr>
      </w:pPr>
      <w:r w:rsidRPr="00DA283D">
        <w:rPr>
          <w:b/>
          <w:bCs/>
          <w:sz w:val="32"/>
          <w:szCs w:val="32"/>
          <w:rtl/>
        </w:rPr>
        <w:t>واللجنة السورية لحقوق الإنسان إذ تدين بشدة سلوك قسد الإرهابي تطالبها بالتوقف الفوري عن هذه الممارسات وتطالب الجهات الداعمة لها بوقف دعمها وحلها كخطوة في طريق إعادة المنطقة التي تحتلها إلى الدولة السورية.</w:t>
      </w:r>
    </w:p>
    <w:p w:rsidR="00DA283D" w:rsidRPr="00DA283D" w:rsidRDefault="00DA283D" w:rsidP="00DA283D">
      <w:pPr>
        <w:jc w:val="both"/>
        <w:rPr>
          <w:b/>
          <w:bCs/>
          <w:sz w:val="32"/>
          <w:szCs w:val="32"/>
          <w:rtl/>
        </w:rPr>
      </w:pPr>
      <w:r w:rsidRPr="00DA283D">
        <w:rPr>
          <w:b/>
          <w:bCs/>
          <w:sz w:val="32"/>
          <w:szCs w:val="32"/>
          <w:rtl/>
        </w:rPr>
        <w:t>اللجنة السورية لحقوق الإنسان</w:t>
      </w:r>
    </w:p>
    <w:p w:rsidR="00DA283D" w:rsidRPr="00DA283D" w:rsidRDefault="00DA283D" w:rsidP="00DA283D">
      <w:pPr>
        <w:jc w:val="both"/>
        <w:rPr>
          <w:b/>
          <w:bCs/>
          <w:sz w:val="32"/>
          <w:szCs w:val="32"/>
          <w:rtl/>
        </w:rPr>
      </w:pPr>
      <w:r w:rsidRPr="00DA283D">
        <w:rPr>
          <w:b/>
          <w:bCs/>
          <w:sz w:val="32"/>
          <w:szCs w:val="32"/>
          <w:rtl/>
        </w:rPr>
        <w:t>4/3/2025</w:t>
      </w:r>
    </w:p>
    <w:p w:rsidR="00DA283D" w:rsidRPr="00DA283D" w:rsidRDefault="00DA283D" w:rsidP="00DA283D">
      <w:pPr>
        <w:jc w:val="both"/>
        <w:rPr>
          <w:b/>
          <w:bCs/>
          <w:sz w:val="32"/>
          <w:szCs w:val="32"/>
          <w:rtl/>
        </w:rPr>
      </w:pPr>
      <w:r w:rsidRPr="00DA283D">
        <w:rPr>
          <w:b/>
          <w:bCs/>
          <w:sz w:val="32"/>
          <w:szCs w:val="32"/>
          <w:rtl/>
        </w:rPr>
        <w:t xml:space="preserve">=========================== </w:t>
      </w:r>
    </w:p>
    <w:p w:rsidR="00DA283D" w:rsidRPr="00DA283D" w:rsidRDefault="00DA283D" w:rsidP="00DA283D">
      <w:pPr>
        <w:jc w:val="both"/>
        <w:rPr>
          <w:b/>
          <w:bCs/>
          <w:color w:val="FF0000"/>
          <w:sz w:val="32"/>
          <w:szCs w:val="32"/>
          <w:rtl/>
        </w:rPr>
      </w:pPr>
      <w:r w:rsidRPr="00DA283D">
        <w:rPr>
          <w:b/>
          <w:bCs/>
          <w:color w:val="FF0000"/>
          <w:sz w:val="32"/>
          <w:szCs w:val="32"/>
          <w:rtl/>
        </w:rPr>
        <w:t>تقرير شهر شباط 2025 لأعداد الضحايا المدنيين</w:t>
      </w:r>
    </w:p>
    <w:p w:rsidR="00DA283D" w:rsidRPr="00DA283D" w:rsidRDefault="00DA283D" w:rsidP="00DA283D">
      <w:pPr>
        <w:jc w:val="both"/>
        <w:rPr>
          <w:b/>
          <w:bCs/>
          <w:color w:val="FF0000"/>
          <w:sz w:val="32"/>
          <w:szCs w:val="32"/>
          <w:rtl/>
        </w:rPr>
      </w:pPr>
      <w:r w:rsidRPr="00DA283D">
        <w:rPr>
          <w:b/>
          <w:bCs/>
          <w:color w:val="FF0000"/>
          <w:sz w:val="32"/>
          <w:szCs w:val="32"/>
          <w:rtl/>
        </w:rPr>
        <w:t>اللجنة السورية لحقوق الإنسان</w:t>
      </w:r>
      <w:r w:rsidRPr="00DA283D">
        <w:rPr>
          <w:rFonts w:hint="cs"/>
          <w:b/>
          <w:bCs/>
          <w:color w:val="FF0000"/>
          <w:sz w:val="32"/>
          <w:szCs w:val="32"/>
          <w:rtl/>
        </w:rPr>
        <w:t xml:space="preserve"> </w:t>
      </w:r>
      <w:r w:rsidRPr="00DA283D">
        <w:rPr>
          <w:b/>
          <w:bCs/>
          <w:color w:val="FF0000"/>
          <w:sz w:val="32"/>
          <w:szCs w:val="32"/>
          <w:rtl/>
        </w:rPr>
        <w:t>1-آذار-2025</w:t>
      </w:r>
    </w:p>
    <w:p w:rsidR="00DA283D" w:rsidRPr="00DA283D" w:rsidRDefault="00DA283D" w:rsidP="00DA283D">
      <w:pPr>
        <w:jc w:val="both"/>
        <w:rPr>
          <w:b/>
          <w:bCs/>
          <w:sz w:val="32"/>
          <w:szCs w:val="32"/>
          <w:rtl/>
        </w:rPr>
      </w:pPr>
      <w:r w:rsidRPr="00DA283D">
        <w:rPr>
          <w:b/>
          <w:bCs/>
          <w:sz w:val="32"/>
          <w:szCs w:val="32"/>
          <w:rtl/>
        </w:rPr>
        <w:t>وثقت اللجنة السورية لحقوق الإنسان مقتل (174) شخصاً في سورية خلال شهر شباط / فبراير 2025، كان من بينهم: (23) طفلاً، و(35) سيدة، و(5) أشخاص قضوا تحت التعذيب.</w:t>
      </w:r>
    </w:p>
    <w:p w:rsidR="00DA283D" w:rsidRPr="00DA283D" w:rsidRDefault="00DA283D" w:rsidP="00DA283D">
      <w:pPr>
        <w:jc w:val="both"/>
        <w:rPr>
          <w:b/>
          <w:bCs/>
          <w:sz w:val="32"/>
          <w:szCs w:val="32"/>
          <w:rtl/>
        </w:rPr>
      </w:pPr>
      <w:r w:rsidRPr="00DA283D">
        <w:rPr>
          <w:b/>
          <w:bCs/>
          <w:sz w:val="32"/>
          <w:szCs w:val="32"/>
          <w:rtl/>
        </w:rPr>
        <w:t>كانت قوات سوريا الديمقراطية مسؤولة عن مقتل (6) أشخاص، وقوات الأمن الداخلي الحكومية مسؤولة عن مقتل (5) أشخاص، فيما كانت كل من القوات التركية وقوات التحالف وقوات الاحتلال الاسرائيلي مسؤولة عن مقتل شخص واحد لكل منهم.</w:t>
      </w:r>
    </w:p>
    <w:p w:rsidR="00DA283D" w:rsidRPr="00DA283D" w:rsidRDefault="00DA283D" w:rsidP="00DA283D">
      <w:pPr>
        <w:jc w:val="both"/>
        <w:rPr>
          <w:b/>
          <w:bCs/>
          <w:sz w:val="32"/>
          <w:szCs w:val="32"/>
          <w:rtl/>
        </w:rPr>
      </w:pPr>
      <w:r w:rsidRPr="00DA283D">
        <w:rPr>
          <w:b/>
          <w:bCs/>
          <w:sz w:val="32"/>
          <w:szCs w:val="32"/>
          <w:rtl/>
        </w:rPr>
        <w:t>ووثقت اللجنة مقتل (55) شخصاً بأيدي مجهولين، و(54) شخصاً في انفجار الألغام الأرضية، و(25) شخصاً في انفجار سيارت مفخخة، و(15) شخصاً في انفجار مخلفات القصف والذخائر.</w:t>
      </w:r>
    </w:p>
    <w:p w:rsidR="00DA283D" w:rsidRPr="00DA283D" w:rsidRDefault="00DA283D" w:rsidP="00DA283D">
      <w:pPr>
        <w:jc w:val="both"/>
        <w:rPr>
          <w:b/>
          <w:bCs/>
          <w:sz w:val="32"/>
          <w:szCs w:val="32"/>
          <w:rtl/>
        </w:rPr>
      </w:pPr>
      <w:r w:rsidRPr="00DA283D">
        <w:rPr>
          <w:b/>
          <w:bCs/>
          <w:sz w:val="32"/>
          <w:szCs w:val="32"/>
          <w:rtl/>
        </w:rPr>
        <w:t>تصدرت محافظة حلب باقي المحافظات من حيث أعداد الضحايا حيث بلغ (44) شخصاً، تلتها محافظة دير الزور بـ(41) شخصا، ومن ثم محافظة حمص بـ(22) شخصا.</w:t>
      </w:r>
    </w:p>
    <w:p w:rsidR="00DA283D" w:rsidRPr="00DA283D" w:rsidRDefault="00DA283D" w:rsidP="00DA283D">
      <w:pPr>
        <w:jc w:val="both"/>
        <w:rPr>
          <w:b/>
          <w:bCs/>
          <w:sz w:val="32"/>
          <w:szCs w:val="32"/>
          <w:rtl/>
        </w:rPr>
      </w:pPr>
      <w:r w:rsidRPr="00DA283D">
        <w:rPr>
          <w:b/>
          <w:bCs/>
          <w:sz w:val="32"/>
          <w:szCs w:val="32"/>
          <w:rtl/>
        </w:rPr>
        <w:lastRenderedPageBreak/>
        <w:t>وبلغ مجموع الضحايا في محافظتي اللاذقية وإدلب (19) شخصاً لكل منهما، و(12) شخصاً في محافظة حماة، و(7) أشخاص في محافظة الرقة، و(6) أشخاص في محافظة درعا، و(3)أشخاص في محافظة ريف دمشق، وشخص واحد في محافظة السويداء.</w:t>
      </w:r>
    </w:p>
    <w:p w:rsidR="00DA283D" w:rsidRPr="00DA283D" w:rsidRDefault="00DA283D" w:rsidP="00DA283D">
      <w:pPr>
        <w:jc w:val="both"/>
        <w:rPr>
          <w:b/>
          <w:bCs/>
          <w:sz w:val="32"/>
          <w:szCs w:val="32"/>
          <w:rtl/>
        </w:rPr>
      </w:pPr>
      <w:r w:rsidRPr="00DA283D">
        <w:rPr>
          <w:b/>
          <w:bCs/>
          <w:sz w:val="32"/>
          <w:szCs w:val="32"/>
          <w:rtl/>
        </w:rPr>
        <w:t xml:space="preserve">=========================== </w:t>
      </w:r>
    </w:p>
    <w:sectPr w:rsidR="00DA283D" w:rsidRPr="00DA283D"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DA283D"/>
    <w:rsid w:val="00145129"/>
    <w:rsid w:val="002D2729"/>
    <w:rsid w:val="005A5391"/>
    <w:rsid w:val="006C1C47"/>
    <w:rsid w:val="0076556A"/>
    <w:rsid w:val="00DA283D"/>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DA283D"/>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83D"/>
    <w:rPr>
      <w:rFonts w:ascii="Times New Roman" w:eastAsia="Times New Roman" w:hAnsi="Times New Roman" w:cs="Times New Roman"/>
      <w:b/>
      <w:bCs/>
      <w:kern w:val="36"/>
      <w:sz w:val="48"/>
      <w:szCs w:val="48"/>
    </w:rPr>
  </w:style>
  <w:style w:type="paragraph" w:customStyle="1" w:styleId="entry-meta">
    <w:name w:val="entry-meta"/>
    <w:basedOn w:val="Normal"/>
    <w:rsid w:val="00DA283D"/>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DA283D"/>
    <w:pPr>
      <w:bidi w:val="0"/>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A283D"/>
    <w:pPr>
      <w:bidi w:val="0"/>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A283D"/>
    <w:rPr>
      <w:b/>
      <w:bCs/>
    </w:rPr>
  </w:style>
  <w:style w:type="paragraph" w:styleId="BalloonText">
    <w:name w:val="Balloon Text"/>
    <w:basedOn w:val="Normal"/>
    <w:link w:val="BalloonTextChar"/>
    <w:uiPriority w:val="99"/>
    <w:semiHidden/>
    <w:unhideWhenUsed/>
    <w:rsid w:val="00DA283D"/>
    <w:rPr>
      <w:rFonts w:ascii="Tahoma" w:hAnsi="Tahoma" w:cs="Tahoma"/>
      <w:sz w:val="16"/>
      <w:szCs w:val="16"/>
    </w:rPr>
  </w:style>
  <w:style w:type="character" w:customStyle="1" w:styleId="BalloonTextChar">
    <w:name w:val="Balloon Text Char"/>
    <w:basedOn w:val="DefaultParagraphFont"/>
    <w:link w:val="BalloonText"/>
    <w:uiPriority w:val="99"/>
    <w:semiHidden/>
    <w:rsid w:val="00DA283D"/>
    <w:rPr>
      <w:rFonts w:ascii="Tahoma" w:hAnsi="Tahoma" w:cs="Tahoma"/>
      <w:sz w:val="16"/>
      <w:szCs w:val="16"/>
    </w:rPr>
  </w:style>
  <w:style w:type="character" w:styleId="Hyperlink">
    <w:name w:val="Hyperlink"/>
    <w:basedOn w:val="DefaultParagraphFont"/>
    <w:semiHidden/>
    <w:unhideWhenUsed/>
    <w:rsid w:val="006C1C47"/>
    <w:rPr>
      <w:color w:val="0000FF"/>
      <w:u w:val="single"/>
    </w:rPr>
  </w:style>
</w:styles>
</file>

<file path=word/webSettings.xml><?xml version="1.0" encoding="utf-8"?>
<w:webSettings xmlns:r="http://schemas.openxmlformats.org/officeDocument/2006/relationships" xmlns:w="http://schemas.openxmlformats.org/wordprocessingml/2006/main">
  <w:divs>
    <w:div w:id="480661351">
      <w:bodyDiv w:val="1"/>
      <w:marLeft w:val="0"/>
      <w:marRight w:val="0"/>
      <w:marTop w:val="0"/>
      <w:marBottom w:val="0"/>
      <w:divBdr>
        <w:top w:val="none" w:sz="0" w:space="0" w:color="auto"/>
        <w:left w:val="none" w:sz="0" w:space="0" w:color="auto"/>
        <w:bottom w:val="none" w:sz="0" w:space="0" w:color="auto"/>
        <w:right w:val="none" w:sz="0" w:space="0" w:color="auto"/>
      </w:divBdr>
      <w:divsChild>
        <w:div w:id="720204062">
          <w:marLeft w:val="0"/>
          <w:marRight w:val="0"/>
          <w:marTop w:val="0"/>
          <w:marBottom w:val="0"/>
          <w:divBdr>
            <w:top w:val="none" w:sz="0" w:space="0" w:color="auto"/>
            <w:left w:val="none" w:sz="0" w:space="0" w:color="auto"/>
            <w:bottom w:val="none" w:sz="0" w:space="0" w:color="auto"/>
            <w:right w:val="none" w:sz="0" w:space="0" w:color="auto"/>
          </w:divBdr>
          <w:divsChild>
            <w:div w:id="1254120188">
              <w:marLeft w:val="0"/>
              <w:marRight w:val="0"/>
              <w:marTop w:val="0"/>
              <w:marBottom w:val="0"/>
              <w:divBdr>
                <w:top w:val="none" w:sz="0" w:space="0" w:color="auto"/>
                <w:left w:val="none" w:sz="0" w:space="0" w:color="auto"/>
                <w:bottom w:val="none" w:sz="0" w:space="0" w:color="auto"/>
                <w:right w:val="none" w:sz="0" w:space="0" w:color="auto"/>
              </w:divBdr>
            </w:div>
          </w:divsChild>
        </w:div>
        <w:div w:id="1741560040">
          <w:marLeft w:val="0"/>
          <w:marRight w:val="0"/>
          <w:marTop w:val="0"/>
          <w:marBottom w:val="0"/>
          <w:divBdr>
            <w:top w:val="none" w:sz="0" w:space="0" w:color="auto"/>
            <w:left w:val="none" w:sz="0" w:space="0" w:color="auto"/>
            <w:bottom w:val="none" w:sz="0" w:space="0" w:color="auto"/>
            <w:right w:val="none" w:sz="0" w:space="0" w:color="auto"/>
          </w:divBdr>
          <w:divsChild>
            <w:div w:id="1556428179">
              <w:marLeft w:val="0"/>
              <w:marRight w:val="0"/>
              <w:marTop w:val="0"/>
              <w:marBottom w:val="0"/>
              <w:divBdr>
                <w:top w:val="none" w:sz="0" w:space="0" w:color="auto"/>
                <w:left w:val="none" w:sz="0" w:space="0" w:color="auto"/>
                <w:bottom w:val="none" w:sz="0" w:space="0" w:color="auto"/>
                <w:right w:val="none" w:sz="0" w:space="0" w:color="auto"/>
              </w:divBdr>
              <w:divsChild>
                <w:div w:id="948856678">
                  <w:marLeft w:val="0"/>
                  <w:marRight w:val="0"/>
                  <w:marTop w:val="0"/>
                  <w:marBottom w:val="0"/>
                  <w:divBdr>
                    <w:top w:val="none" w:sz="0" w:space="0" w:color="auto"/>
                    <w:left w:val="none" w:sz="0" w:space="0" w:color="auto"/>
                    <w:bottom w:val="none" w:sz="0" w:space="0" w:color="auto"/>
                    <w:right w:val="none" w:sz="0" w:space="0" w:color="auto"/>
                  </w:divBdr>
                  <w:divsChild>
                    <w:div w:id="1186478756">
                      <w:marLeft w:val="0"/>
                      <w:marRight w:val="0"/>
                      <w:marTop w:val="0"/>
                      <w:marBottom w:val="0"/>
                      <w:divBdr>
                        <w:top w:val="none" w:sz="0" w:space="0" w:color="auto"/>
                        <w:left w:val="none" w:sz="0" w:space="0" w:color="auto"/>
                        <w:bottom w:val="none" w:sz="0" w:space="0" w:color="auto"/>
                        <w:right w:val="none" w:sz="0" w:space="0" w:color="auto"/>
                      </w:divBdr>
                      <w:divsChild>
                        <w:div w:id="496582339">
                          <w:marLeft w:val="0"/>
                          <w:marRight w:val="0"/>
                          <w:marTop w:val="0"/>
                          <w:marBottom w:val="0"/>
                          <w:divBdr>
                            <w:top w:val="none" w:sz="0" w:space="0" w:color="auto"/>
                            <w:left w:val="none" w:sz="0" w:space="0" w:color="auto"/>
                            <w:bottom w:val="none" w:sz="0" w:space="0" w:color="auto"/>
                            <w:right w:val="none" w:sz="0" w:space="0" w:color="auto"/>
                          </w:divBdr>
                          <w:divsChild>
                            <w:div w:id="9339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0050">
      <w:bodyDiv w:val="1"/>
      <w:marLeft w:val="0"/>
      <w:marRight w:val="0"/>
      <w:marTop w:val="0"/>
      <w:marBottom w:val="0"/>
      <w:divBdr>
        <w:top w:val="none" w:sz="0" w:space="0" w:color="auto"/>
        <w:left w:val="none" w:sz="0" w:space="0" w:color="auto"/>
        <w:bottom w:val="none" w:sz="0" w:space="0" w:color="auto"/>
        <w:right w:val="none" w:sz="0" w:space="0" w:color="auto"/>
      </w:divBdr>
      <w:divsChild>
        <w:div w:id="505290035">
          <w:marLeft w:val="0"/>
          <w:marRight w:val="0"/>
          <w:marTop w:val="0"/>
          <w:marBottom w:val="0"/>
          <w:divBdr>
            <w:top w:val="none" w:sz="0" w:space="0" w:color="auto"/>
            <w:left w:val="none" w:sz="0" w:space="0" w:color="auto"/>
            <w:bottom w:val="none" w:sz="0" w:space="0" w:color="auto"/>
            <w:right w:val="none" w:sz="0" w:space="0" w:color="auto"/>
          </w:divBdr>
          <w:divsChild>
            <w:div w:id="54148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6634">
      <w:bodyDiv w:val="1"/>
      <w:marLeft w:val="0"/>
      <w:marRight w:val="0"/>
      <w:marTop w:val="0"/>
      <w:marBottom w:val="0"/>
      <w:divBdr>
        <w:top w:val="none" w:sz="0" w:space="0" w:color="auto"/>
        <w:left w:val="none" w:sz="0" w:space="0" w:color="auto"/>
        <w:bottom w:val="none" w:sz="0" w:space="0" w:color="auto"/>
        <w:right w:val="none" w:sz="0" w:space="0" w:color="auto"/>
      </w:divBdr>
      <w:divsChild>
        <w:div w:id="1913926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sharqalarabi.org.uk" TargetMode="External"/><Relationship Id="rId5" Type="http://schemas.openxmlformats.org/officeDocument/2006/relationships/hyperlink" Target="https://www.asharqalarabi.org.uk"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2025-03-07T13:14:00Z</dcterms:created>
  <dcterms:modified xsi:type="dcterms:W3CDTF">2025-03-07T13:25:00Z</dcterms:modified>
</cp:coreProperties>
</file>